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20" w:lineRule="exact"/>
        <w:ind w:firstLine="643" w:firstLineChars="200"/>
        <w:jc w:val="both"/>
        <w:outlineLvl w:val="0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一、项目基本情况</w:t>
      </w:r>
    </w:p>
    <w:p>
      <w:pPr>
        <w:widowControl/>
        <w:spacing w:line="560" w:lineRule="exact"/>
        <w:ind w:firstLine="64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1.采购单位：青岛开发投资有限公司</w:t>
      </w:r>
    </w:p>
    <w:p>
      <w:pPr>
        <w:widowControl/>
        <w:spacing w:line="56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2.服务名称：香港中路56号等3处房产财产综合险</w:t>
      </w:r>
    </w:p>
    <w:p>
      <w:pPr>
        <w:widowControl/>
        <w:ind w:firstLine="640"/>
        <w:jc w:val="left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3.投保标的：房屋建筑（香港中路56号等3处房产）</w:t>
      </w:r>
    </w:p>
    <w:tbl>
      <w:tblPr>
        <w:tblStyle w:val="6"/>
        <w:tblW w:w="7796" w:type="dxa"/>
        <w:tblInd w:w="81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268"/>
        <w:gridCol w:w="2099"/>
        <w:gridCol w:w="27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投保标的</w:t>
            </w:r>
          </w:p>
        </w:tc>
        <w:tc>
          <w:tcPr>
            <w:tcW w:w="209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标的坐落地址</w:t>
            </w:r>
          </w:p>
        </w:tc>
        <w:tc>
          <w:tcPr>
            <w:tcW w:w="27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保险金额（元）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金光大厦10-12层</w:t>
            </w:r>
          </w:p>
        </w:tc>
        <w:tc>
          <w:tcPr>
            <w:tcW w:w="2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香港中路56号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8,187,800.00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八大关宾馆</w:t>
            </w:r>
          </w:p>
        </w:tc>
        <w:tc>
          <w:tcPr>
            <w:tcW w:w="2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山海关路19号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1,886,047,300.00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帝威大厦</w:t>
            </w:r>
          </w:p>
        </w:tc>
        <w:tc>
          <w:tcPr>
            <w:tcW w:w="2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山东路12号甲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126,021,000.00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07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合计：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2,020,256,100.00</w:t>
            </w:r>
          </w:p>
        </w:tc>
      </w:tr>
    </w:tbl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4.标的坐落地址：投保标的所列明标的场所</w:t>
      </w:r>
    </w:p>
    <w:p>
      <w:pPr>
        <w:widowControl/>
        <w:spacing w:line="56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5.保险金额：2,020,256,100元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6.服务内容：以上标的地址的财产综合险；每次事故免赔额：人民币1000元或者损失金额的5%，两者以高者为准</w:t>
      </w:r>
    </w:p>
    <w:p>
      <w:pPr>
        <w:widowControl/>
        <w:spacing w:line="560" w:lineRule="exact"/>
        <w:ind w:firstLine="64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7.服务地点：保险所列明标的场所</w:t>
      </w:r>
    </w:p>
    <w:p>
      <w:pPr>
        <w:widowControl/>
        <w:spacing w:line="560" w:lineRule="exact"/>
        <w:ind w:firstLine="64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8.采购预算金额：168691.38元</w:t>
      </w:r>
    </w:p>
    <w:p>
      <w:pPr>
        <w:widowControl/>
        <w:spacing w:line="560" w:lineRule="exact"/>
        <w:ind w:firstLine="643"/>
        <w:jc w:val="left"/>
        <w:rPr>
          <w:rFonts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二、申请人的资格要求</w:t>
      </w:r>
    </w:p>
    <w:p>
      <w:pPr>
        <w:widowControl/>
        <w:spacing w:line="56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国内注册，经中国银行保险监督管理委员会批准，具有保险业务经营许可证的保险公司。</w:t>
      </w:r>
    </w:p>
    <w:p>
      <w:pPr>
        <w:widowControl/>
        <w:spacing w:line="560" w:lineRule="exact"/>
        <w:ind w:firstLine="643"/>
        <w:jc w:val="left"/>
        <w:rPr>
          <w:rFonts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三、服务要求</w:t>
      </w:r>
    </w:p>
    <w:p>
      <w:pPr>
        <w:widowControl/>
        <w:spacing w:line="56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1.服务要求：在我司保险期限关于保险的一切变更事宜及出险理赔事宜，做到第一时间与我司人员对接。</w:t>
      </w:r>
    </w:p>
    <w:p>
      <w:pPr>
        <w:widowControl/>
        <w:spacing w:line="56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2.服务期限：服务期限为1年。</w:t>
      </w:r>
    </w:p>
    <w:p>
      <w:pPr>
        <w:widowControl/>
        <w:spacing w:line="56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3.人员配备要求：承保人员1名、理赔服务人员1名。</w:t>
      </w:r>
    </w:p>
    <w:p>
      <w:pPr>
        <w:widowControl/>
        <w:spacing w:line="56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4.服务标准：及时、便捷处理理赔案件。</w:t>
      </w:r>
    </w:p>
    <w:p>
      <w:pPr>
        <w:widowControl/>
        <w:spacing w:line="56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5.付款方式：出具保单后一次性付款。</w:t>
      </w:r>
    </w:p>
    <w:p>
      <w:pPr>
        <w:widowControl/>
        <w:spacing w:line="580" w:lineRule="exact"/>
        <w:ind w:firstLine="643"/>
        <w:jc w:val="left"/>
        <w:rPr>
          <w:rFonts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四、报价要求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1.报价应为含税全包价，报价应包括但不限于投保标的、保险费率、总保费。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2.报价不得高于采购预算金额，否则报价无效。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3.付款方式：出具保单后一次性付款。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4.报价文件资料包括：营业执照、资质证明文件、报价承诺函（附件1）、报价单（附件2）等。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以上材料需加盖公章并装订成册（营业执照、资质证明可提供复印件并加盖公章），密封并加盖骑缝章。</w:t>
      </w:r>
    </w:p>
    <w:p>
      <w:pPr>
        <w:widowControl/>
        <w:spacing w:line="580" w:lineRule="exact"/>
        <w:ind w:firstLine="643"/>
        <w:jc w:val="left"/>
        <w:rPr>
          <w:rFonts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五、中标确定方式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1.</w:t>
      </w:r>
      <w:r>
        <w:rPr>
          <w:rFonts w:ascii="仿宋" w:hAnsi="仿宋" w:eastAsia="仿宋" w:cs="仿宋"/>
          <w:color w:val="000000"/>
          <w:sz w:val="32"/>
          <w:szCs w:val="32"/>
        </w:rPr>
        <w:t>本次询价采用合理低价法中标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。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2.如出现相同最低报价，由注册资本金额高的报价单位中标。</w:t>
      </w:r>
    </w:p>
    <w:p>
      <w:pPr>
        <w:widowControl/>
        <w:spacing w:line="580" w:lineRule="exact"/>
        <w:ind w:firstLine="643"/>
        <w:jc w:val="left"/>
        <w:rPr>
          <w:rFonts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六、报价截止时间、形式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1.报价截止时间：2024年5月9日14:00。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2.报价形式：报价文件可采取邮寄或现场递交的形式。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3.地点：青岛市香港东路195号上实中心T2楼8楼。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Hans"/>
        </w:rPr>
        <w:t>4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Hans"/>
        </w:rPr>
        <w:t>未及时送达或不满足询价公告要求的报价文件将被拒绝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。</w:t>
      </w:r>
    </w:p>
    <w:p>
      <w:pPr>
        <w:widowControl/>
        <w:spacing w:line="580" w:lineRule="exact"/>
        <w:ind w:firstLine="643"/>
        <w:jc w:val="left"/>
        <w:rPr>
          <w:rFonts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七、公告期限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自本项目公告发出之日起至报价截止时间止。</w:t>
      </w:r>
    </w:p>
    <w:p>
      <w:pPr>
        <w:widowControl/>
        <w:spacing w:line="580" w:lineRule="exact"/>
        <w:ind w:firstLine="643"/>
        <w:jc w:val="left"/>
        <w:rPr>
          <w:rFonts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八、联系方式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联系人：胡嵩，联系方式：18678976618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  <w:lang w:eastAsia="zh-Hans"/>
        </w:rPr>
      </w:pP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Hans"/>
        </w:rPr>
        <w:t>附件：1.报价承诺函</w:t>
      </w:r>
    </w:p>
    <w:p>
      <w:pPr>
        <w:widowControl/>
        <w:spacing w:line="580" w:lineRule="exact"/>
        <w:ind w:firstLine="1600" w:firstLineChars="50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Hans"/>
        </w:rPr>
        <w:t>2.报价单</w:t>
      </w:r>
    </w:p>
    <w:p>
      <w:pPr>
        <w:widowControl/>
        <w:spacing w:line="580" w:lineRule="exact"/>
        <w:ind w:firstLine="1600" w:firstLineChars="50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Hans"/>
        </w:rPr>
        <w:t>3.投标文件包装袋密封件正面和封口格式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 xml:space="preserve">           采购单位：青岛开发投资有限公司</w:t>
      </w:r>
    </w:p>
    <w:p>
      <w:pPr>
        <w:widowControl/>
        <w:spacing w:line="580" w:lineRule="exact"/>
        <w:ind w:firstLine="4006" w:firstLineChars="1252"/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日期：2024年5月6日</w:t>
      </w:r>
    </w:p>
    <w:p>
      <w:pPr>
        <w:widowControl/>
        <w:spacing w:line="580" w:lineRule="exact"/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附件、表格详见链接：</w:t>
      </w:r>
    </w:p>
    <w:p>
      <w:pPr>
        <w:widowControl/>
        <w:spacing w:line="580" w:lineRule="exact"/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33E9C9-74F9-4BDC-B592-1204A939C624}">
  <ds:schemaRefs/>
</ds:datastoreItem>
</file>